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D1" w:rsidRDefault="005C6CC0" w:rsidP="005C6CC0">
      <w:pPr>
        <w:pStyle w:val="jobHeader"/>
        <w:jc w:val="both"/>
        <w:rPr>
          <w:rFonts w:ascii="Gill Sans" w:hAnsi="Gill Sans" w:cs="Gill Sans"/>
          <w:sz w:val="20"/>
          <w:szCs w:val="20"/>
        </w:rPr>
      </w:pPr>
      <w:bookmarkStart w:id="0" w:name="_GoBack"/>
      <w:bookmarkEnd w:id="0"/>
      <w:r>
        <w:rPr>
          <w:rFonts w:ascii="Gill Sans" w:hAnsi="Gill Sans" w:cs="Gill Sans"/>
          <w:sz w:val="2"/>
          <w:szCs w:val="2"/>
        </w:rPr>
        <w:t>\</w:t>
      </w:r>
      <w:r w:rsidRPr="005C6CC0">
        <w:rPr>
          <w:rFonts w:ascii="Gill Sans" w:hAnsi="Gill Sans" w:cs="Gill Sans"/>
          <w:sz w:val="20"/>
          <w:szCs w:val="20"/>
        </w:rPr>
        <w:t xml:space="preserve"> </w:t>
      </w:r>
    </w:p>
    <w:p w:rsidR="00633AA3" w:rsidRPr="00550371" w:rsidRDefault="00633AA3" w:rsidP="00550371">
      <w:pPr>
        <w:rPr>
          <w:rFonts w:asciiTheme="majorHAnsi" w:hAnsiTheme="majorHAnsi"/>
          <w:b/>
        </w:rPr>
      </w:pPr>
      <w:r w:rsidRPr="00550371">
        <w:rPr>
          <w:rFonts w:asciiTheme="majorHAnsi" w:hAnsiTheme="majorHAnsi"/>
          <w:b/>
        </w:rPr>
        <w:t xml:space="preserve">The </w:t>
      </w:r>
      <w:r w:rsidRPr="00550371">
        <w:rPr>
          <w:rFonts w:asciiTheme="majorHAnsi" w:hAnsiTheme="majorHAnsi"/>
          <w:b/>
          <w:color w:val="E36C0A" w:themeColor="accent6" w:themeShade="BF"/>
        </w:rPr>
        <w:t xml:space="preserve">S.I.M.P.L.E. </w:t>
      </w:r>
      <w:r w:rsidRPr="00550371">
        <w:rPr>
          <w:rFonts w:asciiTheme="majorHAnsi" w:hAnsiTheme="majorHAnsi"/>
          <w:b/>
        </w:rPr>
        <w:t>Method for Budget Approval</w:t>
      </w:r>
    </w:p>
    <w:p w:rsidR="00633AA3" w:rsidRPr="00550371" w:rsidRDefault="00633AA3" w:rsidP="00550371">
      <w:pPr>
        <w:rPr>
          <w:rFonts w:ascii="Calibri" w:hAnsi="Calibri"/>
        </w:rPr>
      </w:pPr>
    </w:p>
    <w:p w:rsidR="00633AA3" w:rsidRPr="005327EE" w:rsidRDefault="00633AA3" w:rsidP="00550371">
      <w:pPr>
        <w:rPr>
          <w:rFonts w:ascii="Calibri" w:hAnsi="Calibri"/>
          <w:sz w:val="20"/>
          <w:szCs w:val="20"/>
        </w:rPr>
      </w:pPr>
      <w:r w:rsidRPr="005327EE">
        <w:rPr>
          <w:rFonts w:ascii="Calibri" w:hAnsi="Calibri"/>
          <w:sz w:val="20"/>
          <w:szCs w:val="20"/>
        </w:rPr>
        <w:t xml:space="preserve">Whether you need to hire a new employee or initiate a new project, obtaining executive approval is easier when you remember to keep it </w:t>
      </w:r>
      <w:r w:rsidRPr="005327EE">
        <w:rPr>
          <w:rFonts w:ascii="Calibri" w:hAnsi="Calibri"/>
          <w:color w:val="E36C0A" w:themeColor="accent6" w:themeShade="BF"/>
          <w:sz w:val="20"/>
          <w:szCs w:val="20"/>
        </w:rPr>
        <w:t>S.I.M.P.L.E.</w:t>
      </w:r>
      <w:r w:rsidR="00CC1DEA" w:rsidRPr="005327EE">
        <w:rPr>
          <w:rFonts w:ascii="Calibri" w:hAnsi="Calibri"/>
          <w:color w:val="E36C0A" w:themeColor="accent6" w:themeShade="BF"/>
          <w:sz w:val="20"/>
          <w:szCs w:val="20"/>
        </w:rPr>
        <w:t xml:space="preserve"> </w:t>
      </w:r>
      <w:r w:rsidRPr="005327EE">
        <w:rPr>
          <w:rFonts w:ascii="Calibri" w:hAnsi="Calibri"/>
          <w:sz w:val="20"/>
          <w:szCs w:val="20"/>
        </w:rPr>
        <w:t>Showing a return on investment can be a comparison of a person’s salary compared to COT, COV, loss of customers, loss of sal</w:t>
      </w:r>
      <w:r w:rsidR="00CC1DEA" w:rsidRPr="005327EE">
        <w:rPr>
          <w:rFonts w:ascii="Calibri" w:hAnsi="Calibri"/>
          <w:sz w:val="20"/>
          <w:szCs w:val="20"/>
        </w:rPr>
        <w:t xml:space="preserve">es, loss of productivity, etc. </w:t>
      </w:r>
      <w:r w:rsidRPr="005327EE">
        <w:rPr>
          <w:rFonts w:ascii="Calibri" w:hAnsi="Calibri"/>
          <w:sz w:val="20"/>
          <w:szCs w:val="20"/>
        </w:rPr>
        <w:t xml:space="preserve">Be realistic </w:t>
      </w:r>
      <w:r w:rsidR="00CC1DEA" w:rsidRPr="005327EE">
        <w:rPr>
          <w:rFonts w:ascii="Calibri" w:hAnsi="Calibri"/>
          <w:sz w:val="20"/>
          <w:szCs w:val="20"/>
        </w:rPr>
        <w:t xml:space="preserve">with your benefit statements. </w:t>
      </w:r>
      <w:r w:rsidRPr="005327EE">
        <w:rPr>
          <w:rFonts w:ascii="Calibri" w:hAnsi="Calibri"/>
          <w:sz w:val="20"/>
          <w:szCs w:val="20"/>
        </w:rPr>
        <w:t>The goal is to make it clear that the problem or missed opportunity is costing more than the solution.</w:t>
      </w:r>
    </w:p>
    <w:p w:rsidR="00633AA3" w:rsidRPr="00550371" w:rsidRDefault="00633AA3" w:rsidP="00633AA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"/>
          <w:color w:val="000000"/>
          <w:sz w:val="20"/>
          <w:szCs w:val="20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4" w:type="dxa"/>
          <w:right w:w="115" w:type="dxa"/>
        </w:tblCellMar>
        <w:tblLook w:val="04A0"/>
      </w:tblPr>
      <w:tblGrid>
        <w:gridCol w:w="2358"/>
        <w:gridCol w:w="3157"/>
        <w:gridCol w:w="4061"/>
      </w:tblGrid>
      <w:tr w:rsidR="00633AA3" w:rsidRPr="00550371" w:rsidTr="00AE5986"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b/>
                <w:color w:val="000000"/>
              </w:rPr>
            </w:pPr>
            <w:r w:rsidRPr="00550371">
              <w:rPr>
                <w:rFonts w:cs="GillSans"/>
                <w:b/>
                <w:color w:val="000000"/>
              </w:rPr>
              <w:t>Sample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b/>
                <w:color w:val="000000"/>
              </w:rPr>
            </w:pPr>
            <w:r w:rsidRPr="00550371">
              <w:rPr>
                <w:rFonts w:cs="GillSans"/>
                <w:b/>
                <w:color w:val="000000"/>
              </w:rPr>
              <w:t>Actual</w:t>
            </w: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3AA3" w:rsidRPr="00550371" w:rsidRDefault="00633AA3" w:rsidP="00550371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Gill Sans"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S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>tate the Opportunity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3AA3" w:rsidRPr="00550371" w:rsidRDefault="00633AA3" w:rsidP="00550371">
            <w:pPr>
              <w:rPr>
                <w:i/>
              </w:rPr>
            </w:pPr>
            <w:r w:rsidRPr="00550371">
              <w:rPr>
                <w:i/>
              </w:rPr>
              <w:t>The company is on track to increase sales by 20%</w:t>
            </w:r>
            <w:r w:rsidR="00CC1DEA" w:rsidRPr="00550371">
              <w:rPr>
                <w:i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20" w:hanging="320"/>
              <w:textAlignment w:val="center"/>
              <w:rPr>
                <w:rFonts w:cs="Gill Sans"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I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>dentify the Challenge</w:t>
            </w:r>
          </w:p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</w:tcPr>
          <w:p w:rsidR="00633AA3" w:rsidRPr="00550371" w:rsidRDefault="00633AA3" w:rsidP="00550371">
            <w:pPr>
              <w:rPr>
                <w:i/>
              </w:rPr>
            </w:pPr>
            <w:r w:rsidRPr="00550371">
              <w:rPr>
                <w:i/>
              </w:rPr>
              <w:t>Traditionally, when sales increase it is because customer orders go up.  We need the right number of Customer Service Representatives (CSR</w:t>
            </w:r>
            <w:r w:rsidR="00CC1DEA" w:rsidRPr="00550371">
              <w:rPr>
                <w:i/>
              </w:rPr>
              <w:t>s</w:t>
            </w:r>
            <w:r w:rsidRPr="00550371">
              <w:rPr>
                <w:i/>
              </w:rPr>
              <w:t>) to meet estimated customer sales demand.</w:t>
            </w:r>
          </w:p>
        </w:tc>
        <w:tc>
          <w:tcPr>
            <w:tcW w:w="4061" w:type="dxa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  <w:shd w:val="clear" w:color="auto" w:fill="F2F2F2" w:themeFill="background1" w:themeFillShade="F2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20" w:hanging="320"/>
              <w:textAlignment w:val="center"/>
              <w:rPr>
                <w:rFonts w:cs="Gill Sans"/>
                <w:b/>
                <w:bCs/>
                <w:i/>
                <w:iCs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M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>ake it Measurable</w:t>
            </w:r>
          </w:p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</w:tcPr>
          <w:p w:rsidR="00633AA3" w:rsidRPr="00550371" w:rsidRDefault="00633AA3" w:rsidP="00550371">
            <w:pPr>
              <w:rPr>
                <w:i/>
              </w:rPr>
            </w:pPr>
            <w:r w:rsidRPr="00550371">
              <w:rPr>
                <w:i/>
              </w:rPr>
              <w:t>We’ve found we need one trained CSR for every 100,000</w:t>
            </w:r>
            <w:r w:rsidR="00CC1DEA" w:rsidRPr="00550371">
              <w:rPr>
                <w:i/>
              </w:rPr>
              <w:t xml:space="preserve"> units sold each month. </w:t>
            </w:r>
            <w:r w:rsidRPr="00550371">
              <w:rPr>
                <w:i/>
              </w:rPr>
              <w:t>A 20% sales increase equates to a staff deficiency of one CSR.</w:t>
            </w:r>
          </w:p>
        </w:tc>
        <w:tc>
          <w:tcPr>
            <w:tcW w:w="4061" w:type="dxa"/>
            <w:shd w:val="clear" w:color="auto" w:fill="F2F2F2" w:themeFill="background1" w:themeFillShade="F2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20" w:hanging="320"/>
              <w:textAlignment w:val="center"/>
              <w:rPr>
                <w:rFonts w:cs="Gill Sans"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P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>resent the Solution</w:t>
            </w:r>
          </w:p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</w:tcPr>
          <w:p w:rsidR="00633AA3" w:rsidRPr="00550371" w:rsidRDefault="00633AA3" w:rsidP="00550371">
            <w:pPr>
              <w:rPr>
                <w:i/>
              </w:rPr>
            </w:pPr>
            <w:r w:rsidRPr="00550371">
              <w:rPr>
                <w:i/>
              </w:rPr>
              <w:t>Based on sales projections, we will see the 20% increase realized in two months.  It takes 1.5 months to ramp up a fully productive CSR.  We need to hire now.</w:t>
            </w:r>
          </w:p>
        </w:tc>
        <w:tc>
          <w:tcPr>
            <w:tcW w:w="4061" w:type="dxa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  <w:shd w:val="clear" w:color="auto" w:fill="F2F2F2" w:themeFill="background1" w:themeFillShade="F2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20" w:hanging="320"/>
              <w:textAlignment w:val="center"/>
              <w:rPr>
                <w:rFonts w:cs="Gill Sans"/>
                <w:b/>
                <w:bCs/>
                <w:i/>
                <w:iCs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L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 xml:space="preserve">ist the Benefits </w:t>
            </w:r>
          </w:p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</w:tcPr>
          <w:p w:rsidR="00CC1DEA" w:rsidRPr="00550371" w:rsidRDefault="00CC1DEA" w:rsidP="00550371">
            <w:pPr>
              <w:rPr>
                <w:i/>
              </w:rPr>
            </w:pPr>
            <w:r w:rsidRPr="00550371">
              <w:rPr>
                <w:i/>
              </w:rPr>
              <w:t>A 20% increase in sales and maintaining productivity is a $114,000 annual opportunity (or $9,500/month).</w:t>
            </w:r>
          </w:p>
          <w:p w:rsidR="00633AA3" w:rsidRPr="00550371" w:rsidRDefault="00633AA3" w:rsidP="00550371">
            <w:pPr>
              <w:rPr>
                <w:i/>
              </w:rPr>
            </w:pPr>
          </w:p>
        </w:tc>
        <w:tc>
          <w:tcPr>
            <w:tcW w:w="4061" w:type="dxa"/>
            <w:shd w:val="clear" w:color="auto" w:fill="F2F2F2" w:themeFill="background1" w:themeFillShade="F2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  <w:tr w:rsidR="00633AA3" w:rsidRPr="00550371" w:rsidTr="005327EE">
        <w:trPr>
          <w:trHeight w:val="1152"/>
        </w:trPr>
        <w:tc>
          <w:tcPr>
            <w:tcW w:w="2358" w:type="dxa"/>
          </w:tcPr>
          <w:p w:rsidR="00CC1DEA" w:rsidRPr="00550371" w:rsidRDefault="00CC1DEA" w:rsidP="007E66F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 Sans"/>
                <w:color w:val="000000"/>
              </w:rPr>
            </w:pPr>
            <w:r w:rsidRPr="00550371">
              <w:rPr>
                <w:rFonts w:cs="Gill Sans"/>
                <w:b/>
                <w:bCs/>
                <w:i/>
                <w:iCs/>
                <w:color w:val="E54C00"/>
                <w:sz w:val="32"/>
                <w:szCs w:val="32"/>
              </w:rPr>
              <w:t>E</w:t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 xml:space="preserve">quate It to Return </w:t>
            </w:r>
            <w:r w:rsidR="007E66F1" w:rsidRPr="00550371">
              <w:rPr>
                <w:rFonts w:cs="Gill Sans"/>
                <w:b/>
                <w:bCs/>
                <w:i/>
                <w:iCs/>
                <w:color w:val="000000"/>
              </w:rPr>
              <w:br/>
            </w:r>
            <w:r w:rsidRPr="00550371">
              <w:rPr>
                <w:rFonts w:cs="Gill Sans"/>
                <w:b/>
                <w:bCs/>
                <w:i/>
                <w:iCs/>
                <w:color w:val="000000"/>
              </w:rPr>
              <w:t>on Investment (ROI)</w:t>
            </w:r>
          </w:p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  <w:tc>
          <w:tcPr>
            <w:tcW w:w="3157" w:type="dxa"/>
          </w:tcPr>
          <w:p w:rsidR="00CC1DEA" w:rsidRPr="00550371" w:rsidRDefault="00CC1DEA" w:rsidP="00550371">
            <w:pPr>
              <w:rPr>
                <w:i/>
              </w:rPr>
            </w:pPr>
            <w:r w:rsidRPr="00550371">
              <w:rPr>
                <w:i/>
              </w:rPr>
              <w:t>Two month’s salary for a CSR making $30,000 annually is $5,000. Compared to the $19,000 we will make through a 20% increase in sales for 2 months, we make $14,000 ($19,000-$5,000) by hiring faster.</w:t>
            </w:r>
          </w:p>
          <w:p w:rsidR="00633AA3" w:rsidRPr="00550371" w:rsidRDefault="00633AA3" w:rsidP="00550371">
            <w:pPr>
              <w:rPr>
                <w:i/>
              </w:rPr>
            </w:pPr>
          </w:p>
        </w:tc>
        <w:tc>
          <w:tcPr>
            <w:tcW w:w="4061" w:type="dxa"/>
          </w:tcPr>
          <w:p w:rsidR="00633AA3" w:rsidRPr="00550371" w:rsidRDefault="00633AA3" w:rsidP="00633AA3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GillSans"/>
                <w:color w:val="000000"/>
              </w:rPr>
            </w:pPr>
          </w:p>
        </w:tc>
      </w:tr>
    </w:tbl>
    <w:p w:rsidR="00633AA3" w:rsidRPr="00550371" w:rsidRDefault="00633AA3" w:rsidP="00633AA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"/>
          <w:color w:val="000000"/>
          <w:sz w:val="20"/>
          <w:szCs w:val="20"/>
        </w:rPr>
      </w:pPr>
    </w:p>
    <w:p w:rsidR="00633AA3" w:rsidRPr="00550371" w:rsidRDefault="00633AA3" w:rsidP="00633AA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/>
          <w:sz w:val="20"/>
          <w:szCs w:val="20"/>
        </w:rPr>
      </w:pPr>
    </w:p>
    <w:p w:rsidR="00A23E98" w:rsidRPr="00550371" w:rsidRDefault="00A23E98" w:rsidP="00CC1DEA">
      <w:pPr>
        <w:pStyle w:val="jobHeader"/>
        <w:ind w:left="320" w:hanging="320"/>
        <w:rPr>
          <w:rFonts w:ascii="Calibri" w:hAnsi="Calibri" w:cs="Gill Sans"/>
          <w:sz w:val="20"/>
          <w:szCs w:val="20"/>
        </w:rPr>
      </w:pPr>
    </w:p>
    <w:sectPr w:rsidR="00A23E98" w:rsidRPr="00550371" w:rsidSect="00882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9B" w:rsidRDefault="0013799B" w:rsidP="009F3519">
      <w:r>
        <w:separator/>
      </w:r>
    </w:p>
  </w:endnote>
  <w:endnote w:type="continuationSeparator" w:id="0">
    <w:p w:rsidR="0013799B" w:rsidRDefault="0013799B" w:rsidP="009F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52" w:rsidRDefault="000126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C" w:rsidRPr="0083231C" w:rsidRDefault="00012652" w:rsidP="00882BCC">
    <w:pPr>
      <w:pStyle w:val="Footer"/>
      <w:rPr>
        <w:rStyle w:val="Hyperlink"/>
      </w:rPr>
    </w:pPr>
    <w:r w:rsidRPr="00012652">
      <w:rPr>
        <w:rFonts w:ascii="Calibri" w:hAnsi="Calibri"/>
        <w:noProof/>
        <w:color w:val="F79646" w:themeColor="accent6"/>
      </w:rPr>
      <w:drawing>
        <wp:inline distT="0" distB="0" distL="0" distR="0">
          <wp:extent cx="1190625" cy="242864"/>
          <wp:effectExtent l="19050" t="0" r="0" b="0"/>
          <wp:docPr id="5" name="Picture 4" descr="apple-one-hom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-one-hom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404" cy="24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B57" w:rsidRPr="00CD0B57">
      <w:rPr>
        <w:rFonts w:ascii="Calibri" w:hAnsi="Calibri"/>
        <w:noProof/>
        <w:color w:val="F79646" w:themeColor="accent6"/>
      </w:rPr>
      <w:pict>
        <v:line id="Straight Connector 24" o:spid="_x0000_s2049" style="position:absolute;z-index:251665408;visibility:visible;mso-position-horizontal-relative:text;mso-position-vertical-relative:text" from="-.05pt,-5.2pt" to="463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" strokecolor="#4e6128 [1606]" strokeweight="2pt"/>
      </w:pict>
    </w:r>
    <w:r w:rsidR="00882BCC" w:rsidRPr="00550371">
      <w:rPr>
        <w:rFonts w:ascii="Calibri" w:hAnsi="Calibri"/>
        <w:i/>
        <w:iCs/>
        <w:color w:val="8C8C8C" w:themeColor="background1" w:themeShade="8C"/>
      </w:rPr>
      <w:ptab w:relativeTo="margin" w:alignment="center" w:leader="none"/>
    </w:r>
    <w:r w:rsidR="00882BCC" w:rsidRPr="00550371">
      <w:rPr>
        <w:rFonts w:ascii="Calibri" w:hAnsi="Calibr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83231C" w:rsidRPr="00D232E1">
        <w:rPr>
          <w:rStyle w:val="Hyperlink"/>
          <w:rFonts w:asciiTheme="majorHAnsi" w:hAnsiTheme="majorHAnsi"/>
          <w:i/>
          <w:iCs/>
        </w:rPr>
        <w:t>www.appleone.com/MySCALE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52" w:rsidRDefault="00012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9B" w:rsidRDefault="0013799B" w:rsidP="009F3519">
      <w:r>
        <w:separator/>
      </w:r>
    </w:p>
  </w:footnote>
  <w:footnote w:type="continuationSeparator" w:id="0">
    <w:p w:rsidR="0013799B" w:rsidRDefault="0013799B" w:rsidP="009F3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52" w:rsidRDefault="000126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C" w:rsidRPr="00550371" w:rsidRDefault="00CD0B57" w:rsidP="00882BCC">
    <w:pPr>
      <w:pStyle w:val="Header"/>
      <w:rPr>
        <w:rFonts w:ascii="Calibri" w:hAnsi="Calibri"/>
        <w:color w:val="E36C0A" w:themeColor="accent6" w:themeShade="BF"/>
      </w:rPr>
    </w:pPr>
    <w:r w:rsidRPr="00CD0B57">
      <w:rPr>
        <w:rFonts w:ascii="Calibri" w:hAnsi="Calibri"/>
        <w:noProof/>
        <w:color w:val="F79646" w:themeColor="accent6"/>
      </w:rPr>
      <w:pict>
        <v:line id="Straight Connector 20" o:spid="_x0000_s2050" style="position:absolute;z-index:251663360;visibility:visible" from="4pt,19.35pt" to="46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" strokecolor="#4e6128 [1606]" strokeweight="2pt"/>
      </w:pict>
    </w:r>
    <w:r w:rsidR="00882BCC" w:rsidRPr="00550371">
      <w:rPr>
        <w:rFonts w:ascii="Calibri" w:hAnsi="Calibri"/>
        <w:color w:val="E36C0A" w:themeColor="accent6" w:themeShade="BF"/>
      </w:rPr>
      <w:t xml:space="preserve"> </w:t>
    </w:r>
    <w:r w:rsidR="00882BCC" w:rsidRPr="00550371">
      <w:rPr>
        <w:rFonts w:ascii="Calibri" w:hAnsi="Calibri"/>
        <w:color w:val="4F6228" w:themeColor="accent3" w:themeShade="80"/>
      </w:rPr>
      <w:t>Hiring Toolkit Worksheet</w:t>
    </w:r>
    <w:r w:rsidR="00882BCC" w:rsidRPr="00550371">
      <w:rPr>
        <w:rFonts w:ascii="Calibri" w:hAnsi="Calibri"/>
        <w:color w:val="4F6228" w:themeColor="accent3" w:themeShade="80"/>
      </w:rPr>
      <w:ptab w:relativeTo="margin" w:alignment="center" w:leader="none"/>
    </w:r>
    <w:r w:rsidR="00882BCC" w:rsidRPr="00550371">
      <w:rPr>
        <w:rFonts w:ascii="Calibri" w:hAnsi="Calibri"/>
        <w:color w:val="4F6228" w:themeColor="accent3" w:themeShade="80"/>
      </w:rPr>
      <w:ptab w:relativeTo="margin" w:alignment="right" w:leader="none"/>
    </w:r>
    <w:r w:rsidR="00633AA3" w:rsidRPr="00550371">
      <w:rPr>
        <w:rFonts w:ascii="Calibri" w:hAnsi="Calibri"/>
        <w:color w:val="4F6228" w:themeColor="accent3" w:themeShade="80"/>
      </w:rPr>
      <w:t>Budget Approval</w:t>
    </w:r>
  </w:p>
  <w:p w:rsidR="00882BCC" w:rsidRDefault="00882B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52" w:rsidRDefault="000126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45pt;height:45pt;visibility:visible;mso-wrap-style:square" o:bullet="t">
        <v:imagedata r:id="rId1" o:title=""/>
      </v:shape>
    </w:pict>
  </w:numPicBullet>
  <w:numPicBullet w:numPicBulletId="1">
    <w:pict>
      <v:shape id="_x0000_i1072" type="#_x0000_t75" style="width:10.5pt;height:10.5pt" o:bullet="t">
        <v:imagedata r:id="rId2" o:title="arrow"/>
      </v:shape>
    </w:pict>
  </w:numPicBullet>
  <w:abstractNum w:abstractNumId="0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A722F"/>
    <w:multiLevelType w:val="multilevel"/>
    <w:tmpl w:val="0409001D"/>
    <w:numStyleLink w:val="OrangeArrows"/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102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1F2"/>
    <w:rsid w:val="00012652"/>
    <w:rsid w:val="000A1F34"/>
    <w:rsid w:val="000F340A"/>
    <w:rsid w:val="000F4486"/>
    <w:rsid w:val="0013799B"/>
    <w:rsid w:val="00145492"/>
    <w:rsid w:val="001934E6"/>
    <w:rsid w:val="001A7DE1"/>
    <w:rsid w:val="001B2638"/>
    <w:rsid w:val="001D77FA"/>
    <w:rsid w:val="001E4860"/>
    <w:rsid w:val="00255843"/>
    <w:rsid w:val="0026557F"/>
    <w:rsid w:val="00266431"/>
    <w:rsid w:val="00272765"/>
    <w:rsid w:val="0028259D"/>
    <w:rsid w:val="0036131C"/>
    <w:rsid w:val="00371082"/>
    <w:rsid w:val="0041606B"/>
    <w:rsid w:val="004345C8"/>
    <w:rsid w:val="00482967"/>
    <w:rsid w:val="00486318"/>
    <w:rsid w:val="004C0DC7"/>
    <w:rsid w:val="00501B9B"/>
    <w:rsid w:val="00504C08"/>
    <w:rsid w:val="005327EE"/>
    <w:rsid w:val="00547D5D"/>
    <w:rsid w:val="00550371"/>
    <w:rsid w:val="00556AA1"/>
    <w:rsid w:val="005C6CC0"/>
    <w:rsid w:val="005D1A4E"/>
    <w:rsid w:val="00606220"/>
    <w:rsid w:val="00633AA3"/>
    <w:rsid w:val="006424CA"/>
    <w:rsid w:val="006442ED"/>
    <w:rsid w:val="00654EB4"/>
    <w:rsid w:val="00695DD0"/>
    <w:rsid w:val="00705982"/>
    <w:rsid w:val="00722DDC"/>
    <w:rsid w:val="007E66F1"/>
    <w:rsid w:val="0083231C"/>
    <w:rsid w:val="008352CF"/>
    <w:rsid w:val="008442D1"/>
    <w:rsid w:val="00847D4B"/>
    <w:rsid w:val="00882BCC"/>
    <w:rsid w:val="00895F4F"/>
    <w:rsid w:val="00953615"/>
    <w:rsid w:val="00954EA5"/>
    <w:rsid w:val="00981310"/>
    <w:rsid w:val="009A3D7C"/>
    <w:rsid w:val="009F11FB"/>
    <w:rsid w:val="009F3519"/>
    <w:rsid w:val="00A07356"/>
    <w:rsid w:val="00A23E98"/>
    <w:rsid w:val="00A651C0"/>
    <w:rsid w:val="00AA0813"/>
    <w:rsid w:val="00AE5986"/>
    <w:rsid w:val="00AF54A2"/>
    <w:rsid w:val="00B14631"/>
    <w:rsid w:val="00B67F19"/>
    <w:rsid w:val="00B74348"/>
    <w:rsid w:val="00C01112"/>
    <w:rsid w:val="00C83B89"/>
    <w:rsid w:val="00CC1DEA"/>
    <w:rsid w:val="00CD0B57"/>
    <w:rsid w:val="00CD5A5E"/>
    <w:rsid w:val="00D4350B"/>
    <w:rsid w:val="00DA4829"/>
    <w:rsid w:val="00DB7177"/>
    <w:rsid w:val="00E2088B"/>
    <w:rsid w:val="00E427A3"/>
    <w:rsid w:val="00F14FD7"/>
    <w:rsid w:val="00F30906"/>
    <w:rsid w:val="00F4333C"/>
    <w:rsid w:val="00F534CE"/>
    <w:rsid w:val="00FA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31C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3231C"/>
    <w:rPr>
      <w:color w:val="4F6228" w:themeColor="accent3" w:themeShade="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31C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3231C"/>
    <w:rPr>
      <w:color w:val="4F6228" w:themeColor="accent3" w:themeShade="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leone.com/MySCALE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8B884-7330-4B0E-ABE6-99C66B2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David Meredith - 2940</cp:lastModifiedBy>
  <cp:revision>4</cp:revision>
  <cp:lastPrinted>2014-10-28T18:45:00Z</cp:lastPrinted>
  <dcterms:created xsi:type="dcterms:W3CDTF">2014-11-07T22:17:00Z</dcterms:created>
  <dcterms:modified xsi:type="dcterms:W3CDTF">2016-03-04T22:06:00Z</dcterms:modified>
</cp:coreProperties>
</file>